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F629" w14:textId="77777777" w:rsidR="00F2199F" w:rsidRDefault="00F2199F" w:rsidP="009A7710">
      <w:pPr>
        <w:pStyle w:val="Podnadpis"/>
        <w:spacing w:line="240" w:lineRule="auto"/>
        <w:rPr>
          <w:rFonts w:cs="Arial"/>
          <w:caps/>
          <w:sz w:val="28"/>
          <w:szCs w:val="24"/>
        </w:rPr>
      </w:pPr>
    </w:p>
    <w:p w14:paraId="59D11060" w14:textId="429AC7C7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63FF45A1" w:rsidR="00F30516" w:rsidRPr="002C3C93" w:rsidRDefault="00F30516" w:rsidP="007E63E3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8E7652" w:rsidRPr="008E7652">
        <w:rPr>
          <w:rFonts w:cs="Arial"/>
          <w:sz w:val="22"/>
          <w:szCs w:val="22"/>
        </w:rPr>
        <w:t xml:space="preserve">Servis </w:t>
      </w:r>
      <w:r w:rsidR="00660A25">
        <w:rPr>
          <w:rFonts w:cs="Arial"/>
          <w:sz w:val="22"/>
          <w:szCs w:val="22"/>
        </w:rPr>
        <w:t xml:space="preserve">přístroje </w:t>
      </w:r>
      <w:proofErr w:type="spellStart"/>
      <w:r w:rsidR="00660A25">
        <w:rPr>
          <w:rFonts w:cs="Arial"/>
          <w:sz w:val="22"/>
          <w:szCs w:val="22"/>
        </w:rPr>
        <w:t>Symbia</w:t>
      </w:r>
      <w:proofErr w:type="spellEnd"/>
      <w:r w:rsidR="00660A25">
        <w:rPr>
          <w:rFonts w:cs="Arial"/>
          <w:sz w:val="22"/>
          <w:szCs w:val="22"/>
        </w:rPr>
        <w:t xml:space="preserve"> </w:t>
      </w:r>
      <w:proofErr w:type="spellStart"/>
      <w:r w:rsidR="00660A25">
        <w:rPr>
          <w:rFonts w:cs="Arial"/>
          <w:sz w:val="22"/>
          <w:szCs w:val="22"/>
        </w:rPr>
        <w:t>Intevo</w:t>
      </w:r>
      <w:proofErr w:type="spellEnd"/>
      <w:r w:rsidR="00660A25">
        <w:rPr>
          <w:rFonts w:cs="Arial"/>
          <w:sz w:val="22"/>
          <w:szCs w:val="22"/>
        </w:rPr>
        <w:t xml:space="preserve"> 2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7F2A022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a smlouva </w:t>
      </w:r>
      <w:r w:rsidR="00B55F7B">
        <w:rPr>
          <w:rFonts w:ascii="Arial" w:hAnsi="Arial" w:cs="Arial"/>
          <w:b/>
          <w:bCs/>
          <w:sz w:val="22"/>
        </w:rPr>
        <w:br/>
      </w:r>
      <w:r w:rsidR="00A322E4">
        <w:rPr>
          <w:rFonts w:ascii="Arial" w:hAnsi="Arial" w:cs="Arial"/>
          <w:b/>
          <w:bCs/>
          <w:sz w:val="22"/>
        </w:rPr>
        <w:t>o poskytování servisních služeb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32EF472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19314F">
        <w:rPr>
          <w:rFonts w:ascii="Arial" w:hAnsi="Arial" w:cs="Arial"/>
          <w:szCs w:val="32"/>
        </w:rPr>
        <w:t>smlouvy o poskytování servisních služeb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11"/>
      <w:footerReference w:type="default" r:id="rId12"/>
      <w:footerReference w:type="first" r:id="rId13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E0F1D" w14:textId="77777777" w:rsidR="003B1207" w:rsidRDefault="003B1207">
      <w:r>
        <w:separator/>
      </w:r>
    </w:p>
  </w:endnote>
  <w:endnote w:type="continuationSeparator" w:id="0">
    <w:p w14:paraId="39FDDDEF" w14:textId="77777777" w:rsidR="003B1207" w:rsidRDefault="003B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BC54" w14:textId="77777777" w:rsidR="003B1207" w:rsidRDefault="003B1207">
      <w:r>
        <w:separator/>
      </w:r>
    </w:p>
  </w:footnote>
  <w:footnote w:type="continuationSeparator" w:id="0">
    <w:p w14:paraId="24C6F697" w14:textId="77777777" w:rsidR="003B1207" w:rsidRDefault="003B1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45C5469F" w14:textId="77777777" w:rsidR="00F2199F" w:rsidRDefault="00F2199F"/>
  <w:p w14:paraId="753C1E82" w14:textId="2DEDBDE2" w:rsidR="00F2199F" w:rsidRPr="00F2199F" w:rsidRDefault="00F2199F" w:rsidP="00F2199F">
    <w:pPr>
      <w:jc w:val="right"/>
      <w:rPr>
        <w:rFonts w:ascii="Arial" w:hAnsi="Arial" w:cs="Arial"/>
      </w:rPr>
    </w:pPr>
    <w:r w:rsidRPr="00F2199F">
      <w:rPr>
        <w:rFonts w:ascii="Arial" w:hAnsi="Arial" w:cs="Arial"/>
      </w:rPr>
      <w:t xml:space="preserve">Příloha č. </w:t>
    </w:r>
    <w:r w:rsidR="0096766E">
      <w:rPr>
        <w:rFonts w:ascii="Arial" w:hAnsi="Arial" w:cs="Arial"/>
      </w:rPr>
      <w:t>5</w:t>
    </w:r>
    <w:r w:rsidRPr="00F2199F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776686">
    <w:abstractNumId w:val="12"/>
  </w:num>
  <w:num w:numId="2" w16cid:durableId="710348553">
    <w:abstractNumId w:val="16"/>
  </w:num>
  <w:num w:numId="3" w16cid:durableId="1869222294">
    <w:abstractNumId w:val="13"/>
  </w:num>
  <w:num w:numId="4" w16cid:durableId="740981370">
    <w:abstractNumId w:val="15"/>
  </w:num>
  <w:num w:numId="5" w16cid:durableId="136069859">
    <w:abstractNumId w:val="7"/>
  </w:num>
  <w:num w:numId="6" w16cid:durableId="1378092681">
    <w:abstractNumId w:val="8"/>
  </w:num>
  <w:num w:numId="7" w16cid:durableId="253057039">
    <w:abstractNumId w:val="14"/>
  </w:num>
  <w:num w:numId="8" w16cid:durableId="379210738">
    <w:abstractNumId w:val="9"/>
  </w:num>
  <w:num w:numId="9" w16cid:durableId="1011103372">
    <w:abstractNumId w:val="11"/>
  </w:num>
  <w:num w:numId="10" w16cid:durableId="464586128">
    <w:abstractNumId w:val="6"/>
  </w:num>
  <w:num w:numId="11" w16cid:durableId="2118983816">
    <w:abstractNumId w:val="10"/>
  </w:num>
  <w:num w:numId="12" w16cid:durableId="1551333920">
    <w:abstractNumId w:val="2"/>
  </w:num>
  <w:num w:numId="13" w16cid:durableId="122164696">
    <w:abstractNumId w:val="5"/>
  </w:num>
  <w:num w:numId="14" w16cid:durableId="1569999299">
    <w:abstractNumId w:val="0"/>
  </w:num>
  <w:num w:numId="15" w16cid:durableId="1433622437">
    <w:abstractNumId w:val="4"/>
  </w:num>
  <w:num w:numId="16" w16cid:durableId="1568567366">
    <w:abstractNumId w:val="3"/>
  </w:num>
  <w:num w:numId="17" w16cid:durableId="1339230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4379B"/>
    <w:rsid w:val="00054972"/>
    <w:rsid w:val="00055DD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37B0"/>
    <w:rsid w:val="00174F7B"/>
    <w:rsid w:val="001775D0"/>
    <w:rsid w:val="00191E96"/>
    <w:rsid w:val="0019314F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46BF5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1207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2627"/>
    <w:rsid w:val="00613B61"/>
    <w:rsid w:val="00616D4D"/>
    <w:rsid w:val="00633EB5"/>
    <w:rsid w:val="006348B0"/>
    <w:rsid w:val="0065304D"/>
    <w:rsid w:val="0065641A"/>
    <w:rsid w:val="00660A25"/>
    <w:rsid w:val="00662455"/>
    <w:rsid w:val="006752B5"/>
    <w:rsid w:val="00676F0F"/>
    <w:rsid w:val="0068292F"/>
    <w:rsid w:val="00686F0E"/>
    <w:rsid w:val="00693A9A"/>
    <w:rsid w:val="00697265"/>
    <w:rsid w:val="006A4F8F"/>
    <w:rsid w:val="006A5345"/>
    <w:rsid w:val="006B3C02"/>
    <w:rsid w:val="006B48A8"/>
    <w:rsid w:val="006C1B6C"/>
    <w:rsid w:val="00701CD7"/>
    <w:rsid w:val="00707415"/>
    <w:rsid w:val="007477D8"/>
    <w:rsid w:val="00752F3D"/>
    <w:rsid w:val="00753987"/>
    <w:rsid w:val="0079124B"/>
    <w:rsid w:val="00796BCB"/>
    <w:rsid w:val="007A5CF4"/>
    <w:rsid w:val="007B7ADB"/>
    <w:rsid w:val="007E0E21"/>
    <w:rsid w:val="007E2AA9"/>
    <w:rsid w:val="007E504D"/>
    <w:rsid w:val="007E63E3"/>
    <w:rsid w:val="007F1032"/>
    <w:rsid w:val="007F5C9C"/>
    <w:rsid w:val="008100A2"/>
    <w:rsid w:val="0082056D"/>
    <w:rsid w:val="008262BC"/>
    <w:rsid w:val="008430B4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E6A6F"/>
    <w:rsid w:val="008E6B21"/>
    <w:rsid w:val="008E7652"/>
    <w:rsid w:val="008F5202"/>
    <w:rsid w:val="00902098"/>
    <w:rsid w:val="0090362E"/>
    <w:rsid w:val="00916D3D"/>
    <w:rsid w:val="009512F6"/>
    <w:rsid w:val="00966598"/>
    <w:rsid w:val="0096766E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7C7"/>
    <w:rsid w:val="00A631B2"/>
    <w:rsid w:val="00A71D64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2C90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6064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199F"/>
    <w:rsid w:val="00F24BAC"/>
    <w:rsid w:val="00F30516"/>
    <w:rsid w:val="00F62103"/>
    <w:rsid w:val="00F70620"/>
    <w:rsid w:val="00F818C0"/>
    <w:rsid w:val="00F86A67"/>
    <w:rsid w:val="00F96540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43FE4-3F78-4F9D-A07C-98122904D3B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3.xml><?xml version="1.0" encoding="utf-8"?>
<ds:datastoreItem xmlns:ds="http://schemas.openxmlformats.org/officeDocument/2006/customXml" ds:itemID="{B611FC7B-75FF-4F0B-BA69-F7213A42D6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349CB-501A-4709-90E5-DCD4FC9BA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34</TotalTime>
  <Pages>3</Pages>
  <Words>982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19</cp:revision>
  <cp:lastPrinted>2013-09-18T12:20:00Z</cp:lastPrinted>
  <dcterms:created xsi:type="dcterms:W3CDTF">2025-07-29T08:22:00Z</dcterms:created>
  <dcterms:modified xsi:type="dcterms:W3CDTF">2025-12-01T13:10:00Z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